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0" w:type="dxa"/>
          <w:bottom w:w="15" w:type="dxa"/>
          <w:right w:w="15" w:type="dxa"/>
        </w:tblCellMar>
        <w:tblLook w:val="04A0" w:firstRow="1" w:lastRow="0" w:firstColumn="1" w:lastColumn="0" w:noHBand="0" w:noVBand="1"/>
      </w:tblPr>
      <w:tblGrid>
        <w:gridCol w:w="8060"/>
        <w:gridCol w:w="51"/>
        <w:gridCol w:w="51"/>
        <w:gridCol w:w="66"/>
      </w:tblGrid>
      <w:tr w:rsidR="00DE0B36" w:rsidRPr="00DE0B36" w:rsidTr="00DE0B36">
        <w:trPr>
          <w:tblCellSpacing w:w="15" w:type="dxa"/>
        </w:trPr>
        <w:tc>
          <w:tcPr>
            <w:tcW w:w="5000" w:type="pct"/>
            <w:vAlign w:val="center"/>
            <w:hideMark/>
          </w:tcPr>
          <w:p w:rsidR="00DE0B36" w:rsidRPr="00DE0B36" w:rsidRDefault="00DE0B36" w:rsidP="00DE0B36">
            <w:pPr>
              <w:spacing w:after="0" w:line="240" w:lineRule="auto"/>
              <w:rPr>
                <w:rFonts w:ascii="Arial" w:eastAsia="Times New Roman" w:hAnsi="Arial" w:cs="Arial"/>
                <w:b/>
                <w:bCs/>
                <w:color w:val="313131"/>
                <w:sz w:val="36"/>
                <w:szCs w:val="36"/>
                <w:lang w:eastAsia="it-IT"/>
              </w:rPr>
            </w:pPr>
            <w:r w:rsidRPr="00DE0B36">
              <w:rPr>
                <w:rFonts w:ascii="Arial" w:eastAsia="Times New Roman" w:hAnsi="Arial" w:cs="Arial"/>
                <w:b/>
                <w:bCs/>
                <w:color w:val="313131"/>
                <w:sz w:val="36"/>
                <w:szCs w:val="36"/>
                <w:lang w:eastAsia="it-IT"/>
              </w:rPr>
              <w:t xml:space="preserve">Una cabina di regia per la cura dei beni comuni </w:t>
            </w:r>
          </w:p>
        </w:tc>
        <w:tc>
          <w:tcPr>
            <w:tcW w:w="5000" w:type="pct"/>
            <w:vAlign w:val="center"/>
            <w:hideMark/>
          </w:tcPr>
          <w:p w:rsidR="00DE0B36" w:rsidRPr="00DE0B36" w:rsidRDefault="00DE0B36" w:rsidP="00DE0B36">
            <w:pPr>
              <w:spacing w:after="0" w:line="240" w:lineRule="auto"/>
              <w:jc w:val="right"/>
              <w:rPr>
                <w:rFonts w:ascii="Arial" w:eastAsia="Times New Roman" w:hAnsi="Arial" w:cs="Arial"/>
                <w:vanish/>
                <w:color w:val="5D5D5D"/>
                <w:sz w:val="21"/>
                <w:szCs w:val="21"/>
                <w:lang w:eastAsia="it-IT"/>
              </w:rPr>
            </w:pPr>
            <w:r>
              <w:rPr>
                <w:rFonts w:ascii="Arial" w:eastAsia="Times New Roman" w:hAnsi="Arial" w:cs="Arial"/>
                <w:noProof/>
                <w:vanish/>
                <w:color w:val="0000FF"/>
                <w:sz w:val="21"/>
                <w:szCs w:val="21"/>
                <w:lang w:eastAsia="it-IT"/>
              </w:rPr>
              <w:drawing>
                <wp:inline distT="0" distB="0" distL="0" distR="0">
                  <wp:extent cx="190500" cy="95250"/>
                  <wp:effectExtent l="0" t="0" r="0" b="0"/>
                  <wp:docPr id="3" name="Immagine 3" descr="PDF">
                    <a:hlinkClick xmlns:a="http://schemas.openxmlformats.org/drawingml/2006/main" r:id="rId5" tooltip="&quot;PD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
                            <a:hlinkClick r:id="rId5" tooltip="&quot;PDF&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p>
        </w:tc>
        <w:tc>
          <w:tcPr>
            <w:tcW w:w="5000" w:type="pct"/>
            <w:vAlign w:val="center"/>
            <w:hideMark/>
          </w:tcPr>
          <w:p w:rsidR="00DE0B36" w:rsidRPr="00DE0B36" w:rsidRDefault="00DE0B36" w:rsidP="00DE0B36">
            <w:pPr>
              <w:spacing w:after="0" w:line="240" w:lineRule="auto"/>
              <w:jc w:val="right"/>
              <w:rPr>
                <w:rFonts w:ascii="Arial" w:eastAsia="Times New Roman" w:hAnsi="Arial" w:cs="Arial"/>
                <w:vanish/>
                <w:color w:val="5D5D5D"/>
                <w:sz w:val="21"/>
                <w:szCs w:val="21"/>
                <w:lang w:eastAsia="it-IT"/>
              </w:rPr>
            </w:pPr>
            <w:r>
              <w:rPr>
                <w:rFonts w:ascii="Arial" w:eastAsia="Times New Roman" w:hAnsi="Arial" w:cs="Arial"/>
                <w:noProof/>
                <w:vanish/>
                <w:color w:val="0000FF"/>
                <w:sz w:val="21"/>
                <w:szCs w:val="21"/>
                <w:lang w:eastAsia="it-IT"/>
              </w:rPr>
              <w:drawing>
                <wp:inline distT="0" distB="0" distL="0" distR="0">
                  <wp:extent cx="266700" cy="95250"/>
                  <wp:effectExtent l="0" t="0" r="0" b="0"/>
                  <wp:docPr id="2" name="Immagine 2" descr="Stampa">
                    <a:hlinkClick xmlns:a="http://schemas.openxmlformats.org/drawingml/2006/main" r:id="rId7" tooltip="&quot;Stamp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mpa">
                            <a:hlinkClick r:id="rId7" tooltip="&quot;Stampa&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95250"/>
                          </a:xfrm>
                          <a:prstGeom prst="rect">
                            <a:avLst/>
                          </a:prstGeom>
                          <a:noFill/>
                          <a:ln>
                            <a:noFill/>
                          </a:ln>
                        </pic:spPr>
                      </pic:pic>
                    </a:graphicData>
                  </a:graphic>
                </wp:inline>
              </w:drawing>
            </w:r>
          </w:p>
        </w:tc>
        <w:tc>
          <w:tcPr>
            <w:tcW w:w="5000" w:type="pct"/>
            <w:vAlign w:val="center"/>
            <w:hideMark/>
          </w:tcPr>
          <w:p w:rsidR="00DE0B36" w:rsidRPr="00DE0B36" w:rsidRDefault="00DE0B36" w:rsidP="00DE0B36">
            <w:pPr>
              <w:spacing w:after="0" w:line="240" w:lineRule="auto"/>
              <w:jc w:val="right"/>
              <w:rPr>
                <w:rFonts w:ascii="Arial" w:eastAsia="Times New Roman" w:hAnsi="Arial" w:cs="Arial"/>
                <w:vanish/>
                <w:color w:val="5D5D5D"/>
                <w:sz w:val="21"/>
                <w:szCs w:val="21"/>
                <w:lang w:eastAsia="it-IT"/>
              </w:rPr>
            </w:pPr>
            <w:r>
              <w:rPr>
                <w:rFonts w:ascii="Arial" w:eastAsia="Times New Roman" w:hAnsi="Arial" w:cs="Arial"/>
                <w:noProof/>
                <w:vanish/>
                <w:color w:val="0000FF"/>
                <w:sz w:val="21"/>
                <w:szCs w:val="21"/>
                <w:lang w:eastAsia="it-IT"/>
              </w:rPr>
              <w:drawing>
                <wp:inline distT="0" distB="0" distL="0" distR="0">
                  <wp:extent cx="266700" cy="95250"/>
                  <wp:effectExtent l="0" t="0" r="0" b="0"/>
                  <wp:docPr id="1" name="Immagine 1" descr="E-mail">
                    <a:hlinkClick xmlns:a="http://schemas.openxmlformats.org/drawingml/2006/main" r:id="rId9" tooltip="&quot;E-m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ail">
                            <a:hlinkClick r:id="rId9" tooltip="&quot;E-mail&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95250"/>
                          </a:xfrm>
                          <a:prstGeom prst="rect">
                            <a:avLst/>
                          </a:prstGeom>
                          <a:noFill/>
                          <a:ln>
                            <a:noFill/>
                          </a:ln>
                        </pic:spPr>
                      </pic:pic>
                    </a:graphicData>
                  </a:graphic>
                </wp:inline>
              </w:drawing>
            </w:r>
          </w:p>
        </w:tc>
      </w:tr>
    </w:tbl>
    <w:p w:rsidR="00DE0B36" w:rsidRPr="00DE0B36" w:rsidRDefault="00DE0B36" w:rsidP="00DE0B36">
      <w:pPr>
        <w:spacing w:after="0" w:line="240" w:lineRule="auto"/>
        <w:rPr>
          <w:rFonts w:ascii="Arial" w:eastAsia="Times New Roman" w:hAnsi="Arial" w:cs="Arial"/>
          <w:vanish/>
          <w:color w:val="5D5D5D"/>
          <w:sz w:val="21"/>
          <w:szCs w:val="21"/>
          <w:lang w:eastAsia="it-IT"/>
        </w:rPr>
      </w:pPr>
    </w:p>
    <w:tbl>
      <w:tblPr>
        <w:tblW w:w="0" w:type="auto"/>
        <w:tblCellSpacing w:w="15" w:type="dxa"/>
        <w:tblCellMar>
          <w:top w:w="15" w:type="dxa"/>
          <w:left w:w="0" w:type="dxa"/>
          <w:bottom w:w="15" w:type="dxa"/>
          <w:right w:w="15" w:type="dxa"/>
        </w:tblCellMar>
        <w:tblLook w:val="04A0" w:firstRow="1" w:lastRow="0" w:firstColumn="1" w:lastColumn="0" w:noHBand="0" w:noVBand="1"/>
      </w:tblPr>
      <w:tblGrid>
        <w:gridCol w:w="9713"/>
      </w:tblGrid>
      <w:tr w:rsidR="00DE0B36" w:rsidRPr="00DE0B36" w:rsidTr="00DE0B36">
        <w:trPr>
          <w:tblCellSpacing w:w="15" w:type="dxa"/>
        </w:trPr>
        <w:tc>
          <w:tcPr>
            <w:tcW w:w="0" w:type="auto"/>
            <w:vAlign w:val="center"/>
            <w:hideMark/>
          </w:tcPr>
          <w:p w:rsidR="00DE0B36" w:rsidRPr="00DE0B36" w:rsidRDefault="00DE0B36" w:rsidP="00DE0B36">
            <w:pPr>
              <w:spacing w:after="0" w:line="240" w:lineRule="auto"/>
              <w:rPr>
                <w:rFonts w:ascii="Arial" w:eastAsia="Times New Roman" w:hAnsi="Arial" w:cs="Arial"/>
                <w:color w:val="5D5D5D"/>
                <w:sz w:val="21"/>
                <w:szCs w:val="21"/>
                <w:lang w:eastAsia="it-IT"/>
              </w:rPr>
            </w:pPr>
            <w:r w:rsidRPr="00DE0B36">
              <w:rPr>
                <w:rFonts w:ascii="Arial" w:eastAsia="Times New Roman" w:hAnsi="Arial" w:cs="Arial"/>
                <w:color w:val="505050"/>
                <w:sz w:val="18"/>
                <w:szCs w:val="18"/>
                <w:lang w:eastAsia="it-IT"/>
              </w:rPr>
              <w:t>mercoledì 13 marzo 2013</w:t>
            </w:r>
            <w:r w:rsidRPr="00DE0B36">
              <w:rPr>
                <w:rFonts w:ascii="Arial" w:eastAsia="Times New Roman" w:hAnsi="Arial" w:cs="Arial"/>
                <w:color w:val="5D5D5D"/>
                <w:sz w:val="21"/>
                <w:szCs w:val="21"/>
                <w:lang w:eastAsia="it-IT"/>
              </w:rPr>
              <w:t xml:space="preserve"> </w:t>
            </w:r>
            <w:r w:rsidRPr="00DE0B36">
              <w:rPr>
                <w:rFonts w:ascii="Arial" w:eastAsia="Times New Roman" w:hAnsi="Arial" w:cs="Arial"/>
                <w:color w:val="505050"/>
                <w:sz w:val="18"/>
                <w:szCs w:val="18"/>
                <w:lang w:eastAsia="it-IT"/>
              </w:rPr>
              <w:t xml:space="preserve">| Christian </w:t>
            </w:r>
            <w:proofErr w:type="spellStart"/>
            <w:r w:rsidRPr="00DE0B36">
              <w:rPr>
                <w:rFonts w:ascii="Arial" w:eastAsia="Times New Roman" w:hAnsi="Arial" w:cs="Arial"/>
                <w:color w:val="505050"/>
                <w:sz w:val="18"/>
                <w:szCs w:val="18"/>
                <w:lang w:eastAsia="it-IT"/>
              </w:rPr>
              <w:t>Iaione</w:t>
            </w:r>
            <w:proofErr w:type="spellEnd"/>
            <w:r w:rsidRPr="00DE0B36">
              <w:rPr>
                <w:rFonts w:ascii="Arial" w:eastAsia="Times New Roman" w:hAnsi="Arial" w:cs="Arial"/>
                <w:color w:val="5D5D5D"/>
                <w:sz w:val="21"/>
                <w:szCs w:val="21"/>
                <w:lang w:eastAsia="it-IT"/>
              </w:rPr>
              <w:t xml:space="preserve">    </w:t>
            </w:r>
          </w:p>
        </w:tc>
      </w:tr>
      <w:tr w:rsidR="00DE0B36" w:rsidRPr="00DE0B36" w:rsidTr="00DE0B36">
        <w:trPr>
          <w:tblCellSpacing w:w="15" w:type="dxa"/>
        </w:trPr>
        <w:tc>
          <w:tcPr>
            <w:tcW w:w="0" w:type="auto"/>
            <w:hideMark/>
          </w:tcPr>
          <w:p w:rsidR="00DE0B36" w:rsidRPr="00DE0B36" w:rsidRDefault="00DE0B36" w:rsidP="00DE0B36">
            <w:pPr>
              <w:spacing w:after="0" w:line="240" w:lineRule="auto"/>
              <w:rPr>
                <w:rFonts w:ascii="Verdana" w:eastAsia="Times New Roman" w:hAnsi="Verdana" w:cs="Arial"/>
                <w:color w:val="5D5D5D"/>
                <w:sz w:val="17"/>
                <w:szCs w:val="17"/>
                <w:lang w:eastAsia="it-IT"/>
              </w:rPr>
            </w:pPr>
            <w:r w:rsidRPr="00DE0B36">
              <w:rPr>
                <w:rFonts w:ascii="Verdana" w:eastAsia="Times New Roman" w:hAnsi="Verdana" w:cs="Arial"/>
                <w:color w:val="5D5D5D"/>
                <w:sz w:val="17"/>
                <w:szCs w:val="17"/>
                <w:lang w:eastAsia="it-IT"/>
              </w:rPr>
              <w:t>Ai beni comuni serve un regista</w:t>
            </w:r>
          </w:p>
          <w:p w:rsidR="00DE0B36" w:rsidRPr="00DE0B36" w:rsidRDefault="00DE0B36" w:rsidP="00DE0B36">
            <w:pPr>
              <w:spacing w:after="0" w:line="240" w:lineRule="auto"/>
              <w:rPr>
                <w:rFonts w:ascii="Verdana" w:eastAsia="Times New Roman" w:hAnsi="Verdana" w:cs="Arial"/>
                <w:color w:val="5D5D5D"/>
                <w:sz w:val="18"/>
                <w:szCs w:val="18"/>
                <w:lang w:eastAsia="it-IT"/>
              </w:rPr>
            </w:pPr>
            <w:r w:rsidRPr="00DE0B36">
              <w:rPr>
                <w:rFonts w:ascii="Verdana" w:eastAsia="Times New Roman" w:hAnsi="Verdana" w:cs="Arial"/>
                <w:color w:val="5D5D5D"/>
                <w:sz w:val="18"/>
                <w:szCs w:val="18"/>
                <w:lang w:eastAsia="it-IT"/>
              </w:rPr>
              <w:t xml:space="preserve">Di recente è stata avanzata la proposta di costituire una nuova "Commissione Rodotà". Siamo assolutamente d'accordo. Purtroppo però non crediamo che basterà elaborare e varare una grande riforma di sistema per il riconoscimento e la tutela dei beni comuni. </w:t>
            </w:r>
          </w:p>
          <w:p w:rsidR="00DE0B36" w:rsidRPr="00DE0B36" w:rsidRDefault="00DE0B36" w:rsidP="00DE0B36">
            <w:pPr>
              <w:spacing w:after="0" w:line="240" w:lineRule="auto"/>
              <w:rPr>
                <w:rFonts w:ascii="Georgia" w:eastAsia="Times New Roman" w:hAnsi="Georgia" w:cs="Arial"/>
                <w:i/>
                <w:iCs/>
                <w:color w:val="777777"/>
                <w:sz w:val="30"/>
                <w:szCs w:val="30"/>
                <w:lang w:eastAsia="it-IT"/>
              </w:rPr>
            </w:pPr>
            <w:r w:rsidRPr="00DE0B36">
              <w:rPr>
                <w:rFonts w:ascii="Georgia" w:eastAsia="Times New Roman" w:hAnsi="Georgia" w:cs="Arial"/>
                <w:i/>
                <w:iCs/>
                <w:color w:val="777777"/>
                <w:sz w:val="30"/>
                <w:szCs w:val="30"/>
                <w:lang w:eastAsia="it-IT"/>
              </w:rPr>
              <w:t xml:space="preserve">Dal </w:t>
            </w:r>
            <w:proofErr w:type="spellStart"/>
            <w:r w:rsidRPr="00DE0B36">
              <w:rPr>
                <w:rFonts w:ascii="Georgia" w:eastAsia="Times New Roman" w:hAnsi="Georgia" w:cs="Arial"/>
                <w:i/>
                <w:iCs/>
                <w:color w:val="777777"/>
                <w:sz w:val="30"/>
                <w:szCs w:val="30"/>
                <w:lang w:eastAsia="it-IT"/>
              </w:rPr>
              <w:t>government</w:t>
            </w:r>
            <w:proofErr w:type="spellEnd"/>
            <w:r w:rsidRPr="00DE0B36">
              <w:rPr>
                <w:rFonts w:ascii="Georgia" w:eastAsia="Times New Roman" w:hAnsi="Georgia" w:cs="Arial"/>
                <w:i/>
                <w:iCs/>
                <w:color w:val="777777"/>
                <w:sz w:val="30"/>
                <w:szCs w:val="30"/>
                <w:lang w:eastAsia="it-IT"/>
              </w:rPr>
              <w:t xml:space="preserve"> alla </w:t>
            </w:r>
            <w:proofErr w:type="spellStart"/>
            <w:r w:rsidRPr="00DE0B36">
              <w:rPr>
                <w:rFonts w:ascii="Georgia" w:eastAsia="Times New Roman" w:hAnsi="Georgia" w:cs="Arial"/>
                <w:i/>
                <w:iCs/>
                <w:color w:val="777777"/>
                <w:sz w:val="30"/>
                <w:szCs w:val="30"/>
                <w:lang w:eastAsia="it-IT"/>
              </w:rPr>
              <w:t>governance</w:t>
            </w:r>
            <w:proofErr w:type="spellEnd"/>
            <w:r w:rsidRPr="00DE0B36">
              <w:rPr>
                <w:rFonts w:ascii="Georgia" w:eastAsia="Times New Roman" w:hAnsi="Georgia" w:cs="Arial"/>
                <w:i/>
                <w:iCs/>
                <w:color w:val="777777"/>
                <w:sz w:val="30"/>
                <w:szCs w:val="30"/>
                <w:lang w:eastAsia="it-IT"/>
              </w:rPr>
              <w:t xml:space="preserve"> dei beni comuni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Il tema richiede un cambiamento culturale nell'amministrazione della cosa pubblica e implica il passaggio da logiche di </w:t>
            </w:r>
            <w:proofErr w:type="spellStart"/>
            <w:r w:rsidRPr="00DE0B36">
              <w:rPr>
                <w:rFonts w:ascii="Verdana" w:eastAsia="Times New Roman" w:hAnsi="Verdana" w:cs="Arial"/>
                <w:i/>
                <w:iCs/>
                <w:color w:val="777777"/>
                <w:sz w:val="18"/>
                <w:szCs w:val="18"/>
                <w:lang w:eastAsia="it-IT"/>
              </w:rPr>
              <w:t>government</w:t>
            </w:r>
            <w:proofErr w:type="spellEnd"/>
            <w:r w:rsidRPr="00DE0B36">
              <w:rPr>
                <w:rFonts w:ascii="Verdana" w:eastAsia="Times New Roman" w:hAnsi="Verdana" w:cs="Arial"/>
                <w:color w:val="777777"/>
                <w:sz w:val="18"/>
                <w:szCs w:val="18"/>
                <w:lang w:eastAsia="it-IT"/>
              </w:rPr>
              <w:t xml:space="preserve"> centrate sul paradigma bipolare a logiche di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color w:val="777777"/>
                <w:sz w:val="16"/>
                <w:szCs w:val="16"/>
                <w:lang w:eastAsia="it-IT"/>
              </w:rPr>
              <w:t xml:space="preserve"> (</w:t>
            </w:r>
            <w:hyperlink r:id="rId11" w:anchor="1" w:history="1">
              <w:r w:rsidRPr="00DE0B36">
                <w:rPr>
                  <w:rFonts w:ascii="Verdana" w:eastAsia="Times New Roman" w:hAnsi="Verdana" w:cs="Arial"/>
                  <w:color w:val="B20837"/>
                  <w:sz w:val="16"/>
                  <w:szCs w:val="16"/>
                  <w:lang w:eastAsia="it-IT"/>
                </w:rPr>
                <w:t>1</w:t>
              </w:r>
            </w:hyperlink>
            <w:r w:rsidRPr="00DE0B36">
              <w:rPr>
                <w:rFonts w:ascii="Verdana" w:eastAsia="Times New Roman" w:hAnsi="Verdana" w:cs="Arial"/>
                <w:color w:val="777777"/>
                <w:sz w:val="16"/>
                <w:szCs w:val="16"/>
                <w:lang w:eastAsia="it-IT"/>
              </w:rPr>
              <w:t>)</w:t>
            </w:r>
            <w:r w:rsidRPr="00DE0B36">
              <w:rPr>
                <w:rFonts w:ascii="Verdana" w:eastAsia="Times New Roman" w:hAnsi="Verdana" w:cs="Arial"/>
                <w:color w:val="777777"/>
                <w:sz w:val="18"/>
                <w:szCs w:val="18"/>
                <w:lang w:eastAsia="it-IT"/>
              </w:rPr>
              <w:t xml:space="preserve"> centrate sul "paradigma sussidiario" </w:t>
            </w:r>
            <w:r w:rsidRPr="00DE0B36">
              <w:rPr>
                <w:rFonts w:ascii="Verdana" w:eastAsia="Times New Roman" w:hAnsi="Verdana" w:cs="Arial"/>
                <w:color w:val="777777"/>
                <w:sz w:val="16"/>
                <w:szCs w:val="16"/>
                <w:lang w:eastAsia="it-IT"/>
              </w:rPr>
              <w:t>(</w:t>
            </w:r>
            <w:hyperlink r:id="rId12" w:anchor="2" w:history="1">
              <w:r w:rsidRPr="00DE0B36">
                <w:rPr>
                  <w:rFonts w:ascii="Verdana" w:eastAsia="Times New Roman" w:hAnsi="Verdana" w:cs="Arial"/>
                  <w:color w:val="B20837"/>
                  <w:sz w:val="16"/>
                  <w:szCs w:val="16"/>
                  <w:lang w:eastAsia="it-IT"/>
                </w:rPr>
                <w:t>2</w:t>
              </w:r>
            </w:hyperlink>
            <w:r w:rsidRPr="00DE0B36">
              <w:rPr>
                <w:rFonts w:ascii="Verdana" w:eastAsia="Times New Roman" w:hAnsi="Verdana" w:cs="Arial"/>
                <w:color w:val="777777"/>
                <w:sz w:val="16"/>
                <w:szCs w:val="16"/>
                <w:lang w:eastAsia="it-IT"/>
              </w:rPr>
              <w:t>)</w:t>
            </w:r>
            <w:r w:rsidRPr="00DE0B36">
              <w:rPr>
                <w:rFonts w:ascii="Verdana" w:eastAsia="Times New Roman" w:hAnsi="Verdana" w:cs="Arial"/>
                <w:color w:val="777777"/>
                <w:sz w:val="18"/>
                <w:szCs w:val="18"/>
                <w:lang w:eastAsia="it-IT"/>
              </w:rPr>
              <w:t xml:space="preserve">. E servirà pure un cambiamento di approccio metodologico, da teorico a sperimentale. Il salto culturale richiesto dai beni comuni rende evidente la necessità di mettere in campo iniziative di vario tipo per convincere, formare, accompagnare e assistere le amministrazioni pubbliche e i loro funzionari nell'applicazione concreta dei modelli di amministrazione condivisa dei beni comuni. Solo così sarà possibile favorire l'ampia diffusione del paradigma della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color w:val="777777"/>
                <w:sz w:val="18"/>
                <w:szCs w:val="18"/>
                <w:lang w:eastAsia="it-IT"/>
              </w:rPr>
              <w:t>, nell'ambito del quale le già diffuse pratiche di cura condivisa dei beni comuni si iscrivono.</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50" w:after="100" w:afterAutospacing="1" w:line="240" w:lineRule="auto"/>
              <w:rPr>
                <w:rFonts w:ascii="Georgia" w:eastAsia="Times New Roman" w:hAnsi="Georgia" w:cs="Arial"/>
                <w:color w:val="333333"/>
                <w:sz w:val="32"/>
                <w:szCs w:val="32"/>
                <w:lang w:eastAsia="it-IT"/>
              </w:rPr>
            </w:pPr>
            <w:r w:rsidRPr="00DE0B36">
              <w:rPr>
                <w:rFonts w:ascii="Georgia" w:eastAsia="Times New Roman" w:hAnsi="Georgia" w:cs="Arial"/>
                <w:color w:val="333333"/>
                <w:sz w:val="32"/>
                <w:szCs w:val="32"/>
                <w:lang w:eastAsia="it-IT"/>
              </w:rPr>
              <w:t>La "comunicazione istituzionale" dei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In altri termini, per favorire la diffusione di una cultura della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occorre ripartire dalla leva della "comunicazione istituzionale", intesa come politica pubblica centrata, per un verso, sulla "messa in comune" di una visione del mondo e, per altro verso, sul governo delle </w:t>
            </w:r>
            <w:hyperlink r:id="rId13" w:history="1">
              <w:r w:rsidRPr="00DE0B36">
                <w:rPr>
                  <w:rFonts w:ascii="Verdana" w:eastAsia="Times New Roman" w:hAnsi="Verdana" w:cs="Arial"/>
                  <w:color w:val="B20837"/>
                  <w:sz w:val="18"/>
                  <w:szCs w:val="18"/>
                  <w:lang w:eastAsia="it-IT"/>
                </w:rPr>
                <w:t>reti</w:t>
              </w:r>
            </w:hyperlink>
            <w:r w:rsidRPr="00DE0B36">
              <w:rPr>
                <w:rFonts w:ascii="Verdana" w:eastAsia="Times New Roman" w:hAnsi="Verdana" w:cs="Arial"/>
                <w:color w:val="777777"/>
                <w:sz w:val="18"/>
                <w:szCs w:val="18"/>
                <w:lang w:eastAsia="it-IT"/>
              </w:rPr>
              <w:t xml:space="preserve"> e sulla valorizzazione delle energie presenti nella società. La proposta richiede la creazione di un "luogo" o </w:t>
            </w:r>
            <w:r w:rsidRPr="00DE0B36">
              <w:rPr>
                <w:rFonts w:ascii="Verdana" w:eastAsia="Times New Roman" w:hAnsi="Verdana" w:cs="Arial"/>
                <w:i/>
                <w:iCs/>
                <w:color w:val="777777"/>
                <w:sz w:val="18"/>
                <w:szCs w:val="18"/>
                <w:lang w:eastAsia="it-IT"/>
              </w:rPr>
              <w:t>"</w:t>
            </w:r>
            <w:proofErr w:type="spellStart"/>
            <w:r w:rsidRPr="00DE0B36">
              <w:rPr>
                <w:rFonts w:ascii="Verdana" w:eastAsia="Times New Roman" w:hAnsi="Verdana" w:cs="Arial"/>
                <w:i/>
                <w:iCs/>
                <w:color w:val="777777"/>
                <w:sz w:val="18"/>
                <w:szCs w:val="18"/>
                <w:lang w:eastAsia="it-IT"/>
              </w:rPr>
              <w:t>hub</w:t>
            </w:r>
            <w:proofErr w:type="spellEnd"/>
            <w:r w:rsidRPr="00DE0B36">
              <w:rPr>
                <w:rFonts w:ascii="Verdana" w:eastAsia="Times New Roman" w:hAnsi="Verdana" w:cs="Arial"/>
                <w:i/>
                <w:iCs/>
                <w:color w:val="777777"/>
                <w:sz w:val="18"/>
                <w:szCs w:val="18"/>
                <w:lang w:eastAsia="it-IT"/>
              </w:rPr>
              <w:t>"</w:t>
            </w:r>
            <w:r w:rsidRPr="00DE0B36">
              <w:rPr>
                <w:rFonts w:ascii="Verdana" w:eastAsia="Times New Roman" w:hAnsi="Verdana" w:cs="Arial"/>
                <w:color w:val="777777"/>
                <w:sz w:val="18"/>
                <w:szCs w:val="18"/>
                <w:lang w:eastAsia="it-IT"/>
              </w:rPr>
              <w:t xml:space="preserve">, al quale le amministrazioni pubbliche intenzionate ad adottare tecniche di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possano attingere per offrire ai propri dipendenti attività di "formazione-intervento" basate sull'alternanza aula-campo. Si tratta di una tipologia di formazione che punta sulla combinazione fra: </w:t>
            </w:r>
            <w:r w:rsidRPr="00DE0B36">
              <w:rPr>
                <w:rFonts w:ascii="Verdana" w:eastAsia="Times New Roman" w:hAnsi="Verdana" w:cs="Arial"/>
                <w:i/>
                <w:iCs/>
                <w:color w:val="777777"/>
                <w:sz w:val="18"/>
                <w:szCs w:val="18"/>
                <w:lang w:eastAsia="it-IT"/>
              </w:rPr>
              <w:t>a)</w:t>
            </w:r>
            <w:r w:rsidRPr="00DE0B36">
              <w:rPr>
                <w:rFonts w:ascii="Verdana" w:eastAsia="Times New Roman" w:hAnsi="Verdana" w:cs="Arial"/>
                <w:color w:val="777777"/>
                <w:sz w:val="18"/>
                <w:szCs w:val="18"/>
                <w:lang w:eastAsia="it-IT"/>
              </w:rPr>
              <w:t xml:space="preserve"> erogazione, anche in via telematica, di momenti di aula di altissimo livello professionale e taglio tecnico-operativo; </w:t>
            </w:r>
            <w:r w:rsidRPr="00DE0B36">
              <w:rPr>
                <w:rFonts w:ascii="Verdana" w:eastAsia="Times New Roman" w:hAnsi="Verdana" w:cs="Arial"/>
                <w:i/>
                <w:iCs/>
                <w:color w:val="777777"/>
                <w:sz w:val="18"/>
                <w:szCs w:val="18"/>
                <w:lang w:eastAsia="it-IT"/>
              </w:rPr>
              <w:t xml:space="preserve">b) </w:t>
            </w:r>
            <w:r w:rsidRPr="00DE0B36">
              <w:rPr>
                <w:rFonts w:ascii="Verdana" w:eastAsia="Times New Roman" w:hAnsi="Verdana" w:cs="Arial"/>
                <w:color w:val="777777"/>
                <w:sz w:val="18"/>
                <w:szCs w:val="18"/>
                <w:lang w:eastAsia="it-IT"/>
              </w:rPr>
              <w:t xml:space="preserve">affiancamento nella progettazione e sperimentazione concreta dei modelli di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w:t>
            </w:r>
            <w:r w:rsidRPr="00DE0B36">
              <w:rPr>
                <w:rFonts w:ascii="Verdana" w:eastAsia="Times New Roman" w:hAnsi="Verdana" w:cs="Arial"/>
                <w:i/>
                <w:iCs/>
                <w:color w:val="777777"/>
                <w:sz w:val="18"/>
                <w:szCs w:val="18"/>
                <w:lang w:eastAsia="it-IT"/>
              </w:rPr>
              <w:t xml:space="preserve"> c) </w:t>
            </w:r>
            <w:r w:rsidRPr="00DE0B36">
              <w:rPr>
                <w:rFonts w:ascii="Verdana" w:eastAsia="Times New Roman" w:hAnsi="Verdana" w:cs="Arial"/>
                <w:color w:val="777777"/>
                <w:sz w:val="18"/>
                <w:szCs w:val="18"/>
                <w:lang w:eastAsia="it-IT"/>
              </w:rPr>
              <w:t>successiva elaborazione e diffusione dei risultati delle attività, ricerche e analisi condotte nell'ambito di tali sperimentazioni.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Proponiamo in sostanza di giungere alla costituzione di una </w:t>
            </w:r>
            <w:r w:rsidRPr="00DE0B36">
              <w:rPr>
                <w:rFonts w:ascii="Verdana" w:eastAsia="Times New Roman" w:hAnsi="Verdana" w:cs="Arial"/>
                <w:i/>
                <w:iCs/>
                <w:color w:val="777777"/>
                <w:sz w:val="18"/>
                <w:szCs w:val="18"/>
                <w:lang w:eastAsia="it-IT"/>
              </w:rPr>
              <w:t xml:space="preserve">Cabina di regia per la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i/>
                <w:iCs/>
                <w:color w:val="777777"/>
                <w:sz w:val="18"/>
                <w:szCs w:val="18"/>
                <w:lang w:eastAsia="it-IT"/>
              </w:rPr>
              <w:t xml:space="preserve"> dei beni comuni</w:t>
            </w:r>
            <w:r w:rsidRPr="00DE0B36">
              <w:rPr>
                <w:rFonts w:ascii="Verdana" w:eastAsia="Times New Roman" w:hAnsi="Verdana" w:cs="Arial"/>
                <w:color w:val="777777"/>
                <w:sz w:val="18"/>
                <w:szCs w:val="18"/>
                <w:lang w:eastAsia="it-IT"/>
              </w:rPr>
              <w:t xml:space="preserve">, un'istituzione pubblico-privata con il compito di svolgere una funzione di promozione e sostegno, rivolta principalmente alle pubbliche amministrazioni, per la realizzazione di esperienze di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L'obiettivo consiste nello svolgere un'opera di disseminazione culturale all'interno delle amministrazioni per elevarne le competenze generali in vista del coinvolgimento dei cittadini nella realizzazione, manutenzione e finanziamento dei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50" w:after="100" w:afterAutospacing="1" w:line="240" w:lineRule="auto"/>
              <w:rPr>
                <w:rFonts w:ascii="Georgia" w:eastAsia="Times New Roman" w:hAnsi="Georgia" w:cs="Arial"/>
                <w:color w:val="333333"/>
                <w:sz w:val="32"/>
                <w:szCs w:val="32"/>
                <w:lang w:eastAsia="it-IT"/>
              </w:rPr>
            </w:pPr>
            <w:r w:rsidRPr="00DE0B36">
              <w:rPr>
                <w:rFonts w:ascii="Georgia" w:eastAsia="Times New Roman" w:hAnsi="Georgia" w:cs="Arial"/>
                <w:color w:val="333333"/>
                <w:sz w:val="32"/>
                <w:szCs w:val="32"/>
                <w:lang w:eastAsia="it-IT"/>
              </w:rPr>
              <w:t>La cabina di regia dei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L'iniziativa della creazione della Cabina di regia dovrebbe essere assunta a livello nazionale da un soggetto istituzionale, preferibilmente con il sostegno finanziario privato, assecondando così in pieno lo spirito della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Gli interlocutori principali della </w:t>
            </w:r>
            <w:r w:rsidRPr="00DE0B36">
              <w:rPr>
                <w:rFonts w:ascii="Verdana" w:eastAsia="Times New Roman" w:hAnsi="Verdana" w:cs="Arial"/>
                <w:i/>
                <w:iCs/>
                <w:color w:val="777777"/>
                <w:sz w:val="18"/>
                <w:szCs w:val="18"/>
                <w:lang w:eastAsia="it-IT"/>
              </w:rPr>
              <w:t>Cabina di regia</w:t>
            </w:r>
            <w:r w:rsidRPr="00DE0B36">
              <w:rPr>
                <w:rFonts w:ascii="Verdana" w:eastAsia="Times New Roman" w:hAnsi="Verdana" w:cs="Arial"/>
                <w:color w:val="777777"/>
                <w:sz w:val="18"/>
                <w:szCs w:val="18"/>
                <w:lang w:eastAsia="it-IT"/>
              </w:rPr>
              <w:t xml:space="preserve"> dovranno essere, per un verso, le amministrazioni statali, regionali, locali o le loro aggregazioni. E, per altro verso, i cittadini e gli operatori impegnati quotidianamente nella trincea della ricerca di soluzioni condivise o della fattibilità economico-</w:t>
            </w:r>
            <w:r w:rsidRPr="00DE0B36">
              <w:rPr>
                <w:rFonts w:ascii="Verdana" w:eastAsia="Times New Roman" w:hAnsi="Verdana" w:cs="Arial"/>
                <w:color w:val="777777"/>
                <w:sz w:val="18"/>
                <w:szCs w:val="18"/>
                <w:lang w:eastAsia="it-IT"/>
              </w:rPr>
              <w:lastRenderedPageBreak/>
              <w:t>finanziaria, elementi oramai inscindibili per garantire la sopravvivenza e la cura dei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L'obiettivo principale della </w:t>
            </w:r>
            <w:r w:rsidRPr="00DE0B36">
              <w:rPr>
                <w:rFonts w:ascii="Verdana" w:eastAsia="Times New Roman" w:hAnsi="Verdana" w:cs="Arial"/>
                <w:i/>
                <w:iCs/>
                <w:color w:val="777777"/>
                <w:sz w:val="18"/>
                <w:szCs w:val="18"/>
                <w:lang w:eastAsia="it-IT"/>
              </w:rPr>
              <w:t>Cabina di regia</w:t>
            </w:r>
            <w:r w:rsidRPr="00DE0B36">
              <w:rPr>
                <w:rFonts w:ascii="Verdana" w:eastAsia="Times New Roman" w:hAnsi="Verdana" w:cs="Arial"/>
                <w:color w:val="777777"/>
                <w:sz w:val="18"/>
                <w:szCs w:val="18"/>
                <w:lang w:eastAsia="it-IT"/>
              </w:rPr>
              <w:t xml:space="preserve"> dovrebbe essere quello di favorire il dialogo, lo scambio di competenze, informazioni ed esperienze tra tutti i soggetti interessati alla creazione di una concreta partnership tra istituzioni e comunità per la protezione, il recupero, la manutenzione e la gestione dei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50" w:after="100" w:afterAutospacing="1" w:line="240" w:lineRule="auto"/>
              <w:rPr>
                <w:rFonts w:ascii="Georgia" w:eastAsia="Times New Roman" w:hAnsi="Georgia" w:cs="Arial"/>
                <w:color w:val="333333"/>
                <w:sz w:val="32"/>
                <w:szCs w:val="32"/>
                <w:lang w:eastAsia="it-IT"/>
              </w:rPr>
            </w:pPr>
            <w:r w:rsidRPr="00DE0B36">
              <w:rPr>
                <w:rFonts w:ascii="Georgia" w:eastAsia="Times New Roman" w:hAnsi="Georgia" w:cs="Arial"/>
                <w:color w:val="333333"/>
                <w:sz w:val="32"/>
                <w:szCs w:val="32"/>
                <w:lang w:eastAsia="it-IT"/>
              </w:rPr>
              <w:t>La formazione-intervento per 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Oltre alle tradizionali attività formative di tipo frontale, la Cabina di regia dovrebbe essere, poi, lo strumento che mette le amministrazioni interessate in condizione di conoscere e scambiare buone pratiche con altre amministrazioni. Inoltre, alla </w:t>
            </w:r>
            <w:r w:rsidRPr="00DE0B36">
              <w:rPr>
                <w:rFonts w:ascii="Verdana" w:eastAsia="Times New Roman" w:hAnsi="Verdana" w:cs="Arial"/>
                <w:i/>
                <w:iCs/>
                <w:color w:val="777777"/>
                <w:sz w:val="18"/>
                <w:szCs w:val="18"/>
                <w:lang w:eastAsia="it-IT"/>
              </w:rPr>
              <w:t>Cabina di regia</w:t>
            </w:r>
            <w:r w:rsidRPr="00DE0B36">
              <w:rPr>
                <w:rFonts w:ascii="Verdana" w:eastAsia="Times New Roman" w:hAnsi="Verdana" w:cs="Arial"/>
                <w:color w:val="777777"/>
                <w:sz w:val="18"/>
                <w:szCs w:val="18"/>
                <w:lang w:eastAsia="it-IT"/>
              </w:rPr>
              <w:t xml:space="preserve"> le Amministrazioni potrebbero ricorrere per ottenere l'assistenza necessaria da parte di docenti-tutor, che affianchino i partecipanti alle attività formative nella sperimentazione sul campo delle forme e degli strumenti di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color w:val="777777"/>
                <w:sz w:val="18"/>
                <w:szCs w:val="18"/>
                <w:lang w:eastAsia="it-IT"/>
              </w:rPr>
              <w:t>, così testando le competenze acquisite nell'ambito della formazione.</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In altri termini, non si deve trattare di una mera formazione frontale e in aula. La "formazione-intervento" qui immaginata presuppone un'offerta formativa basata su un "affiancamento concreto alla quotidianità dei processi e in vista della soluzione di precisi bisogni della singola amministrazione" (</w:t>
            </w:r>
            <w:hyperlink r:id="rId14" w:anchor="3" w:history="1">
              <w:r w:rsidRPr="00DE0B36">
                <w:rPr>
                  <w:rFonts w:ascii="Verdana" w:eastAsia="Times New Roman" w:hAnsi="Verdana" w:cs="Arial"/>
                  <w:color w:val="B20837"/>
                  <w:sz w:val="18"/>
                  <w:szCs w:val="18"/>
                  <w:lang w:eastAsia="it-IT"/>
                </w:rPr>
                <w:t>3</w:t>
              </w:r>
            </w:hyperlink>
            <w:r w:rsidRPr="00DE0B36">
              <w:rPr>
                <w:rFonts w:ascii="Verdana" w:eastAsia="Times New Roman" w:hAnsi="Verdana" w:cs="Arial"/>
                <w:color w:val="777777"/>
                <w:sz w:val="18"/>
                <w:szCs w:val="18"/>
                <w:lang w:eastAsia="it-IT"/>
              </w:rPr>
              <w:t xml:space="preserve">). Gli operatori pubblici verrebbero preparati non solo a "pensare" teoricamente o sulla carta operazioni di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ma anche ad "agire" come operatori professionali della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capaci di essere controparte pubblica tecnicamente attrezzata a stare in una relazione partenariale con una controparte privata; a porsi in relazione con tutti i livelli istituzionali; a costruire relazioni e tenere insieme reti di alleanze tra istituzioni e società civile.</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50" w:after="100" w:afterAutospacing="1" w:line="240" w:lineRule="auto"/>
              <w:rPr>
                <w:rFonts w:ascii="Georgia" w:eastAsia="Times New Roman" w:hAnsi="Georgia" w:cs="Arial"/>
                <w:color w:val="333333"/>
                <w:sz w:val="32"/>
                <w:szCs w:val="32"/>
                <w:lang w:eastAsia="it-IT"/>
              </w:rPr>
            </w:pPr>
            <w:r w:rsidRPr="00DE0B36">
              <w:rPr>
                <w:rFonts w:ascii="Georgia" w:eastAsia="Times New Roman" w:hAnsi="Georgia" w:cs="Arial"/>
                <w:color w:val="333333"/>
                <w:sz w:val="32"/>
                <w:szCs w:val="32"/>
                <w:lang w:eastAsia="it-IT"/>
              </w:rPr>
              <w:t>Cassette degli attrezzi e affiancamento continuo</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In più, l'opera di accompagnamento formativo e culturale non dovrebbe terminare nella fase di erogazione della formazione-intervento. Essa dovrebbe essere continua. Una delle principali attività di disseminazione culturale del modello consisterebbe, infatti, nell'elaborazione, a partire dalle criticità riscontrate nell'ambito delle attività formative e sperimentali, di Manuali di istruzioni per applicare le riforme e seguire la costante evoluzione degli strumenti tecnici, giuridici ed economico-finanziari che caratterizzano la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Sulla base delle criticità emergenti nell'ambito della collaborazione che si viene a instaurare tra docenti-</w:t>
            </w:r>
            <w:r w:rsidRPr="00DE0B36">
              <w:rPr>
                <w:rFonts w:ascii="Verdana" w:eastAsia="Times New Roman" w:hAnsi="Verdana" w:cs="Arial"/>
                <w:i/>
                <w:iCs/>
                <w:color w:val="777777"/>
                <w:sz w:val="18"/>
                <w:szCs w:val="18"/>
                <w:lang w:eastAsia="it-IT"/>
              </w:rPr>
              <w:t>tutor</w:t>
            </w:r>
            <w:r w:rsidRPr="00DE0B36">
              <w:rPr>
                <w:rFonts w:ascii="Verdana" w:eastAsia="Times New Roman" w:hAnsi="Verdana" w:cs="Arial"/>
                <w:color w:val="777777"/>
                <w:sz w:val="18"/>
                <w:szCs w:val="18"/>
                <w:lang w:eastAsia="it-IT"/>
              </w:rPr>
              <w:t xml:space="preserve"> e partecipanti alle attività di formazione e sperimentazione, si tratta di elaborare materiali che fungano da linee-guida applicative di quanto illustrato. Dovrebbero essere come delle "cassette degli attrezzi", con dentro gli strumenti necessari per impostare, costruire e replicare un progetto di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con istruzioni pratiche, strategie, passaggi-chiave, metodi e strumenti necessari per la pronta operatività (per es. raccolte normative, protocolli d'intesa, patti parasociali, modelli di piani economico-finanziari, regolamenti, ecc.) e individuazione delle criticità riscontrate e delle risorse messe in campo per affrontarle, delle soluzioni amministrative applicate e dei risultati conseguiti.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lastRenderedPageBreak/>
              <w:t xml:space="preserve">A valle dell'elaborazione delle "cassette degli attrezzi" si dovrebbero, poi, apprestare tutte le azioni e misure organizzative necessarie per sostenere i dipendenti pubblici nell'uso quotidiano delle "cassette degli attrezzi", contemplando la possibilità di un'assistenza e di un tutoraggio continui, anche a distanza, nello sviluppo e nell'implementazione costante delle pratiche di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L'affiancamento continuo serve, per un verso, a incoraggiare l'operatore amministrativo e puntellare le sue motivazioni nella gestione di un progetto di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E per altro verso a perfezionare le "cassette degli attrezzi" aggiornandole costantemente alla varietà di problematiche e circostanze che la prassi amministrativa e di mercato propone.</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50" w:after="100" w:afterAutospacing="1" w:line="240" w:lineRule="auto"/>
              <w:rPr>
                <w:rFonts w:ascii="Georgia" w:eastAsia="Times New Roman" w:hAnsi="Georgia" w:cs="Arial"/>
                <w:color w:val="333333"/>
                <w:sz w:val="32"/>
                <w:szCs w:val="32"/>
                <w:lang w:eastAsia="it-IT"/>
              </w:rPr>
            </w:pPr>
            <w:r w:rsidRPr="00DE0B36">
              <w:rPr>
                <w:rFonts w:ascii="Georgia" w:eastAsia="Times New Roman" w:hAnsi="Georgia" w:cs="Arial"/>
                <w:color w:val="333333"/>
                <w:sz w:val="32"/>
                <w:szCs w:val="32"/>
                <w:lang w:eastAsia="it-IT"/>
              </w:rPr>
              <w:t>Una storia che non finisce mai, come 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In sintesi, il ciclo delle attività della </w:t>
            </w:r>
            <w:r w:rsidRPr="00DE0B36">
              <w:rPr>
                <w:rFonts w:ascii="Verdana" w:eastAsia="Times New Roman" w:hAnsi="Verdana" w:cs="Arial"/>
                <w:i/>
                <w:iCs/>
                <w:color w:val="777777"/>
                <w:sz w:val="18"/>
                <w:szCs w:val="18"/>
                <w:lang w:eastAsia="it-IT"/>
              </w:rPr>
              <w:t>Cabina di regia</w:t>
            </w:r>
            <w:r w:rsidRPr="00DE0B36">
              <w:rPr>
                <w:rFonts w:ascii="Verdana" w:eastAsia="Times New Roman" w:hAnsi="Verdana" w:cs="Arial"/>
                <w:color w:val="777777"/>
                <w:sz w:val="18"/>
                <w:szCs w:val="18"/>
                <w:lang w:eastAsia="it-IT"/>
              </w:rPr>
              <w:t xml:space="preserve"> per la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sarebbe continuo e si articolerebbe in tre fasi. La prima avrebbe ad oggetto il percorso formativo tradizionale, anche attraverso modalità di e-learning. Il secondo passaggio consisterebbe nella sperimentazione sul campo dei modelli di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realizzando con i partecipanti al percorso formativo, e – quindi – con le amministrazioni di appartenenza, casi-pilota, cantieri di sperimentazione che fungano da "laboratori di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La terza fase, invece, dovrebbe essere dedicata all'elaborazione dei "Manuali di istruzioni" e all'assistenza e affiancamento permanenti e continui da parte della </w:t>
            </w:r>
            <w:r w:rsidRPr="00DE0B36">
              <w:rPr>
                <w:rFonts w:ascii="Verdana" w:eastAsia="Times New Roman" w:hAnsi="Verdana" w:cs="Arial"/>
                <w:i/>
                <w:iCs/>
                <w:color w:val="777777"/>
                <w:sz w:val="18"/>
                <w:szCs w:val="18"/>
                <w:lang w:eastAsia="it-IT"/>
              </w:rPr>
              <w:t>Cabina di regia</w:t>
            </w:r>
            <w:r w:rsidRPr="00DE0B36">
              <w:rPr>
                <w:rFonts w:ascii="Verdana" w:eastAsia="Times New Roman" w:hAnsi="Verdana" w:cs="Arial"/>
                <w:color w:val="777777"/>
                <w:sz w:val="18"/>
                <w:szCs w:val="18"/>
                <w:lang w:eastAsia="it-IT"/>
              </w:rPr>
              <w:t xml:space="preserve"> nell'uso dei Manuali. Si tratta di far sedimentare la cultura della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nella cura dei beni comuni e nei processi decisionali ad essi relativi, sostenendo i dipendenti pubblici nell'attuazione quotidiana delle riforme e nella risoluzione delle problematicità emergenti nell'ambito di un progetto di </w:t>
            </w:r>
            <w:proofErr w:type="spellStart"/>
            <w:r w:rsidRPr="00DE0B36">
              <w:rPr>
                <w:rFonts w:ascii="Verdana" w:eastAsia="Times New Roman" w:hAnsi="Verdana" w:cs="Arial"/>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 Successivamente, per favorirne l'applicazione su larga scala, il consolidamento dei risultati della formazione-intervento potrebbe passare attraverso la modellizzazione delle migliori soluzioni realizzate su scala nazionale applicando i principi e i modelli della </w:t>
            </w:r>
            <w:proofErr w:type="spellStart"/>
            <w:r w:rsidRPr="00DE0B36">
              <w:rPr>
                <w:rFonts w:ascii="Verdana" w:eastAsia="Times New Roman" w:hAnsi="Verdana" w:cs="Arial"/>
                <w:i/>
                <w:iCs/>
                <w:color w:val="777777"/>
                <w:sz w:val="18"/>
                <w:szCs w:val="18"/>
                <w:lang w:eastAsia="it-IT"/>
              </w:rPr>
              <w:t>governance</w:t>
            </w:r>
            <w:proofErr w:type="spellEnd"/>
            <w:r w:rsidRPr="00DE0B36">
              <w:rPr>
                <w:rFonts w:ascii="Verdana" w:eastAsia="Times New Roman" w:hAnsi="Verdana" w:cs="Arial"/>
                <w:color w:val="777777"/>
                <w:sz w:val="18"/>
                <w:szCs w:val="18"/>
                <w:lang w:eastAsia="it-IT"/>
              </w:rPr>
              <w:t xml:space="preserve"> dei beni comuni.</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xml:space="preserve">Abbiamo già cominciato a sperimentare le idee e le proposte avanzate qui con il </w:t>
            </w:r>
            <w:hyperlink r:id="rId15" w:history="1">
              <w:r w:rsidRPr="00DE0B36">
                <w:rPr>
                  <w:rFonts w:ascii="Verdana" w:eastAsia="Times New Roman" w:hAnsi="Verdana" w:cs="Arial"/>
                  <w:color w:val="B20837"/>
                  <w:sz w:val="18"/>
                  <w:szCs w:val="18"/>
                  <w:lang w:eastAsia="it-IT"/>
                </w:rPr>
                <w:t xml:space="preserve">Laboratorio per la </w:t>
              </w:r>
              <w:proofErr w:type="spellStart"/>
              <w:r w:rsidRPr="00DE0B36">
                <w:rPr>
                  <w:rFonts w:ascii="Verdana" w:eastAsia="Times New Roman" w:hAnsi="Verdana" w:cs="Arial"/>
                  <w:color w:val="B20837"/>
                  <w:sz w:val="18"/>
                  <w:szCs w:val="18"/>
                  <w:lang w:eastAsia="it-IT"/>
                </w:rPr>
                <w:t>governance</w:t>
              </w:r>
              <w:proofErr w:type="spellEnd"/>
              <w:r w:rsidRPr="00DE0B36">
                <w:rPr>
                  <w:rFonts w:ascii="Verdana" w:eastAsia="Times New Roman" w:hAnsi="Verdana" w:cs="Arial"/>
                  <w:color w:val="B20837"/>
                  <w:sz w:val="18"/>
                  <w:szCs w:val="18"/>
                  <w:lang w:eastAsia="it-IT"/>
                </w:rPr>
                <w:t xml:space="preserve"> dei beni comuni</w:t>
              </w:r>
            </w:hyperlink>
            <w:r w:rsidRPr="00DE0B36">
              <w:rPr>
                <w:rFonts w:ascii="Verdana" w:eastAsia="Times New Roman" w:hAnsi="Verdana" w:cs="Arial"/>
                <w:color w:val="777777"/>
                <w:sz w:val="18"/>
                <w:szCs w:val="18"/>
                <w:lang w:eastAsia="it-IT"/>
              </w:rPr>
              <w:t xml:space="preserve">. Le porte sono aperte a tutti coloro i quali vorranno contribuire alla narrazione di questa bella storia, una storia che non dovrebbe mai vedere la parola "fine", proprio </w:t>
            </w:r>
            <w:proofErr w:type="spellStart"/>
            <w:r w:rsidRPr="00DE0B36">
              <w:rPr>
                <w:rFonts w:ascii="Verdana" w:eastAsia="Times New Roman" w:hAnsi="Verdana" w:cs="Arial"/>
                <w:color w:val="777777"/>
                <w:sz w:val="18"/>
                <w:szCs w:val="18"/>
                <w:lang w:eastAsia="it-IT"/>
              </w:rPr>
              <w:t>perchè</w:t>
            </w:r>
            <w:proofErr w:type="spellEnd"/>
            <w:r w:rsidRPr="00DE0B36">
              <w:rPr>
                <w:rFonts w:ascii="Verdana" w:eastAsia="Times New Roman" w:hAnsi="Verdana" w:cs="Arial"/>
                <w:color w:val="777777"/>
                <w:sz w:val="18"/>
                <w:szCs w:val="18"/>
                <w:lang w:eastAsia="it-IT"/>
              </w:rPr>
              <w:t xml:space="preserve"> è di beni comuni che stiamo parlando.</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color w:val="777777"/>
                <w:sz w:val="18"/>
                <w:szCs w:val="18"/>
                <w:lang w:eastAsia="it-IT"/>
              </w:rPr>
              <w:t> </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r w:rsidRPr="00DE0B36">
              <w:rPr>
                <w:rFonts w:ascii="Verdana" w:eastAsia="Times New Roman" w:hAnsi="Verdana" w:cs="Arial"/>
                <w:b/>
                <w:bCs/>
                <w:color w:val="777777"/>
                <w:sz w:val="18"/>
                <w:szCs w:val="18"/>
                <w:lang w:eastAsia="it-IT"/>
              </w:rPr>
              <w:t>Note:</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bookmarkStart w:id="0" w:name="1"/>
            <w:bookmarkEnd w:id="0"/>
            <w:r w:rsidRPr="00DE0B36">
              <w:rPr>
                <w:rFonts w:ascii="Verdana" w:eastAsia="Times New Roman" w:hAnsi="Verdana" w:cs="Arial"/>
                <w:b/>
                <w:bCs/>
                <w:color w:val="777777"/>
                <w:sz w:val="16"/>
                <w:szCs w:val="16"/>
                <w:lang w:eastAsia="it-IT"/>
              </w:rPr>
              <w:t>(1)</w:t>
            </w:r>
            <w:r w:rsidRPr="00DE0B36">
              <w:rPr>
                <w:rFonts w:ascii="Verdana" w:eastAsia="Times New Roman" w:hAnsi="Verdana" w:cs="Arial"/>
                <w:color w:val="777777"/>
                <w:sz w:val="16"/>
                <w:szCs w:val="16"/>
                <w:lang w:eastAsia="it-IT"/>
              </w:rPr>
              <w:t xml:space="preserve"> Al contrario delle tecniche di </w:t>
            </w:r>
            <w:proofErr w:type="spellStart"/>
            <w:r w:rsidRPr="00DE0B36">
              <w:rPr>
                <w:rFonts w:ascii="Verdana" w:eastAsia="Times New Roman" w:hAnsi="Verdana" w:cs="Arial"/>
                <w:i/>
                <w:iCs/>
                <w:color w:val="777777"/>
                <w:sz w:val="16"/>
                <w:szCs w:val="16"/>
                <w:lang w:eastAsia="it-IT"/>
              </w:rPr>
              <w:t>government</w:t>
            </w:r>
            <w:proofErr w:type="spellEnd"/>
            <w:r w:rsidRPr="00DE0B36">
              <w:rPr>
                <w:rFonts w:ascii="Verdana" w:eastAsia="Times New Roman" w:hAnsi="Verdana" w:cs="Arial"/>
                <w:color w:val="777777"/>
                <w:sz w:val="16"/>
                <w:szCs w:val="16"/>
                <w:lang w:eastAsia="it-IT"/>
              </w:rPr>
              <w:t xml:space="preserve">, quelle di </w:t>
            </w:r>
            <w:proofErr w:type="spellStart"/>
            <w:r w:rsidRPr="00DE0B36">
              <w:rPr>
                <w:rFonts w:ascii="Verdana" w:eastAsia="Times New Roman" w:hAnsi="Verdana" w:cs="Arial"/>
                <w:i/>
                <w:iCs/>
                <w:color w:val="777777"/>
                <w:sz w:val="16"/>
                <w:szCs w:val="16"/>
                <w:lang w:eastAsia="it-IT"/>
              </w:rPr>
              <w:t>governance</w:t>
            </w:r>
            <w:proofErr w:type="spellEnd"/>
            <w:r w:rsidRPr="00DE0B36">
              <w:rPr>
                <w:rFonts w:ascii="Verdana" w:eastAsia="Times New Roman" w:hAnsi="Verdana" w:cs="Arial"/>
                <w:color w:val="777777"/>
                <w:sz w:val="16"/>
                <w:szCs w:val="16"/>
                <w:lang w:eastAsia="it-IT"/>
              </w:rPr>
              <w:t xml:space="preserve"> sono caratterizzate da </w:t>
            </w:r>
            <w:proofErr w:type="spellStart"/>
            <w:r w:rsidRPr="00DE0B36">
              <w:rPr>
                <w:rFonts w:ascii="Verdana" w:eastAsia="Times New Roman" w:hAnsi="Verdana" w:cs="Arial"/>
                <w:color w:val="777777"/>
                <w:sz w:val="16"/>
                <w:szCs w:val="16"/>
                <w:lang w:eastAsia="it-IT"/>
              </w:rPr>
              <w:t>paritarietà</w:t>
            </w:r>
            <w:proofErr w:type="spellEnd"/>
            <w:r w:rsidRPr="00DE0B36">
              <w:rPr>
                <w:rFonts w:ascii="Verdana" w:eastAsia="Times New Roman" w:hAnsi="Verdana" w:cs="Arial"/>
                <w:color w:val="777777"/>
                <w:sz w:val="16"/>
                <w:szCs w:val="16"/>
                <w:lang w:eastAsia="it-IT"/>
              </w:rPr>
              <w:t xml:space="preserve">, orizzontalità e apertura verso le comunità territoriali, la società civile, il settore privato e fanno perno sulla collaborazione tra i diversi attori (istituzionali, sociali e imprenditoriali) per creare </w:t>
            </w:r>
            <w:proofErr w:type="spellStart"/>
            <w:r w:rsidRPr="00DE0B36">
              <w:rPr>
                <w:rFonts w:ascii="Verdana" w:eastAsia="Times New Roman" w:hAnsi="Verdana" w:cs="Arial"/>
                <w:color w:val="777777"/>
                <w:sz w:val="16"/>
                <w:szCs w:val="16"/>
                <w:lang w:eastAsia="it-IT"/>
              </w:rPr>
              <w:t>forem</w:t>
            </w:r>
            <w:proofErr w:type="spellEnd"/>
            <w:r w:rsidRPr="00DE0B36">
              <w:rPr>
                <w:rFonts w:ascii="Verdana" w:eastAsia="Times New Roman" w:hAnsi="Verdana" w:cs="Arial"/>
                <w:color w:val="777777"/>
                <w:sz w:val="16"/>
                <w:szCs w:val="16"/>
                <w:lang w:eastAsia="it-IT"/>
              </w:rPr>
              <w:t xml:space="preserve"> di partenariato dedicate alla realizzazione condivisa di scopi di interesse generale. La strategia cui risponde lo strumento partenariale è proprio quello di abbandonare la logica della contrapposizione tra interesse pubblico e interesse privato, tra interessi statali e interessi locali, per creare una rete di alleanze attorno alla scelta pubblica, in una parola di applicare i principi e le tecniche della </w:t>
            </w:r>
            <w:proofErr w:type="spellStart"/>
            <w:r w:rsidRPr="00DE0B36">
              <w:rPr>
                <w:rFonts w:ascii="Verdana" w:eastAsia="Times New Roman" w:hAnsi="Verdana" w:cs="Arial"/>
                <w:color w:val="777777"/>
                <w:sz w:val="16"/>
                <w:szCs w:val="16"/>
                <w:lang w:eastAsia="it-IT"/>
              </w:rPr>
              <w:t>governance</w:t>
            </w:r>
            <w:proofErr w:type="spellEnd"/>
            <w:r w:rsidRPr="00DE0B36">
              <w:rPr>
                <w:rFonts w:ascii="Verdana" w:eastAsia="Times New Roman" w:hAnsi="Verdana" w:cs="Arial"/>
                <w:color w:val="777777"/>
                <w:sz w:val="16"/>
                <w:szCs w:val="16"/>
                <w:lang w:eastAsia="it-IT"/>
              </w:rPr>
              <w:t xml:space="preserve"> al tema dei beni comuni. Cfr. M.R. FERRARESE, </w:t>
            </w:r>
            <w:r w:rsidRPr="00DE0B36">
              <w:rPr>
                <w:rFonts w:ascii="Verdana" w:eastAsia="Times New Roman" w:hAnsi="Verdana" w:cs="Arial"/>
                <w:i/>
                <w:iCs/>
                <w:color w:val="777777"/>
                <w:sz w:val="16"/>
                <w:szCs w:val="16"/>
                <w:lang w:eastAsia="it-IT"/>
              </w:rPr>
              <w:t xml:space="preserve">La </w:t>
            </w:r>
            <w:proofErr w:type="spellStart"/>
            <w:r w:rsidRPr="00DE0B36">
              <w:rPr>
                <w:rFonts w:ascii="Verdana" w:eastAsia="Times New Roman" w:hAnsi="Verdana" w:cs="Arial"/>
                <w:i/>
                <w:iCs/>
                <w:color w:val="777777"/>
                <w:sz w:val="16"/>
                <w:szCs w:val="16"/>
                <w:lang w:eastAsia="it-IT"/>
              </w:rPr>
              <w:t>governance</w:t>
            </w:r>
            <w:proofErr w:type="spellEnd"/>
            <w:r w:rsidRPr="00DE0B36">
              <w:rPr>
                <w:rFonts w:ascii="Verdana" w:eastAsia="Times New Roman" w:hAnsi="Verdana" w:cs="Arial"/>
                <w:i/>
                <w:iCs/>
                <w:color w:val="777777"/>
                <w:sz w:val="16"/>
                <w:szCs w:val="16"/>
                <w:lang w:eastAsia="it-IT"/>
              </w:rPr>
              <w:t xml:space="preserve"> tra politica e diritto</w:t>
            </w:r>
            <w:r w:rsidRPr="00DE0B36">
              <w:rPr>
                <w:rFonts w:ascii="Verdana" w:eastAsia="Times New Roman" w:hAnsi="Verdana" w:cs="Arial"/>
                <w:color w:val="777777"/>
                <w:sz w:val="16"/>
                <w:szCs w:val="16"/>
                <w:lang w:eastAsia="it-IT"/>
              </w:rPr>
              <w:t xml:space="preserve">, Bologna, 2010, p. 149 ss.; nonché C. IAIONE, </w:t>
            </w:r>
            <w:r w:rsidRPr="00DE0B36">
              <w:rPr>
                <w:rFonts w:ascii="Verdana" w:eastAsia="Times New Roman" w:hAnsi="Verdana" w:cs="Arial"/>
                <w:i/>
                <w:iCs/>
                <w:color w:val="777777"/>
                <w:sz w:val="16"/>
                <w:szCs w:val="16"/>
                <w:lang w:eastAsia="it-IT"/>
              </w:rPr>
              <w:t xml:space="preserve">La localizzazione delle infrastrutture localmente indesiderate: da soluzioni di </w:t>
            </w:r>
            <w:proofErr w:type="spellStart"/>
            <w:r w:rsidRPr="00DE0B36">
              <w:rPr>
                <w:rFonts w:ascii="Verdana" w:eastAsia="Times New Roman" w:hAnsi="Verdana" w:cs="Arial"/>
                <w:i/>
                <w:iCs/>
                <w:color w:val="777777"/>
                <w:sz w:val="16"/>
                <w:szCs w:val="16"/>
                <w:lang w:eastAsia="it-IT"/>
              </w:rPr>
              <w:t>government</w:t>
            </w:r>
            <w:proofErr w:type="spellEnd"/>
            <w:r w:rsidRPr="00DE0B36">
              <w:rPr>
                <w:rFonts w:ascii="Verdana" w:eastAsia="Times New Roman" w:hAnsi="Verdana" w:cs="Arial"/>
                <w:i/>
                <w:iCs/>
                <w:color w:val="777777"/>
                <w:sz w:val="16"/>
                <w:szCs w:val="16"/>
                <w:lang w:eastAsia="it-IT"/>
              </w:rPr>
              <w:t xml:space="preserve"> a soluzioni di </w:t>
            </w:r>
            <w:proofErr w:type="spellStart"/>
            <w:r w:rsidRPr="00DE0B36">
              <w:rPr>
                <w:rFonts w:ascii="Verdana" w:eastAsia="Times New Roman" w:hAnsi="Verdana" w:cs="Arial"/>
                <w:i/>
                <w:iCs/>
                <w:color w:val="777777"/>
                <w:sz w:val="16"/>
                <w:szCs w:val="16"/>
                <w:lang w:eastAsia="it-IT"/>
              </w:rPr>
              <w:t>governance</w:t>
            </w:r>
            <w:proofErr w:type="spellEnd"/>
            <w:r w:rsidRPr="00DE0B36">
              <w:rPr>
                <w:rFonts w:ascii="Verdana" w:eastAsia="Times New Roman" w:hAnsi="Verdana" w:cs="Arial"/>
                <w:color w:val="777777"/>
                <w:sz w:val="16"/>
                <w:szCs w:val="16"/>
                <w:lang w:eastAsia="it-IT"/>
              </w:rPr>
              <w:t xml:space="preserve">, in G. ARENA, F. CORTESE, </w:t>
            </w:r>
            <w:r w:rsidRPr="00DE0B36">
              <w:rPr>
                <w:rFonts w:ascii="Verdana" w:eastAsia="Times New Roman" w:hAnsi="Verdana" w:cs="Arial"/>
                <w:i/>
                <w:iCs/>
                <w:color w:val="777777"/>
                <w:sz w:val="16"/>
                <w:szCs w:val="16"/>
                <w:lang w:eastAsia="it-IT"/>
              </w:rPr>
              <w:t>Per governare insieme: il federalismo come metodo</w:t>
            </w:r>
            <w:r w:rsidRPr="00DE0B36">
              <w:rPr>
                <w:rFonts w:ascii="Verdana" w:eastAsia="Times New Roman" w:hAnsi="Verdana" w:cs="Arial"/>
                <w:color w:val="777777"/>
                <w:sz w:val="16"/>
                <w:szCs w:val="16"/>
                <w:lang w:eastAsia="it-IT"/>
              </w:rPr>
              <w:t>, Padova, 2011, p. 203 e ss..</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bookmarkStart w:id="1" w:name="2"/>
            <w:bookmarkEnd w:id="1"/>
            <w:r w:rsidRPr="00DE0B36">
              <w:rPr>
                <w:rFonts w:ascii="Verdana" w:eastAsia="Times New Roman" w:hAnsi="Verdana" w:cs="Arial"/>
                <w:b/>
                <w:bCs/>
                <w:color w:val="777777"/>
                <w:sz w:val="16"/>
                <w:szCs w:val="16"/>
                <w:lang w:eastAsia="it-IT"/>
              </w:rPr>
              <w:t>(2)</w:t>
            </w:r>
            <w:r w:rsidRPr="00DE0B36">
              <w:rPr>
                <w:rFonts w:ascii="Verdana" w:eastAsia="Times New Roman" w:hAnsi="Verdana" w:cs="Arial"/>
                <w:color w:val="777777"/>
                <w:sz w:val="16"/>
                <w:szCs w:val="16"/>
                <w:lang w:eastAsia="it-IT"/>
              </w:rPr>
              <w:t xml:space="preserve"> G. ARENA, </w:t>
            </w:r>
            <w:r w:rsidRPr="00DE0B36">
              <w:rPr>
                <w:rFonts w:ascii="Verdana" w:eastAsia="Times New Roman" w:hAnsi="Verdana" w:cs="Arial"/>
                <w:i/>
                <w:iCs/>
                <w:color w:val="777777"/>
                <w:sz w:val="16"/>
                <w:szCs w:val="16"/>
                <w:lang w:eastAsia="it-IT"/>
              </w:rPr>
              <w:t>Cittadini attivi</w:t>
            </w:r>
            <w:r w:rsidRPr="00DE0B36">
              <w:rPr>
                <w:rFonts w:ascii="Verdana" w:eastAsia="Times New Roman" w:hAnsi="Verdana" w:cs="Arial"/>
                <w:color w:val="777777"/>
                <w:sz w:val="16"/>
                <w:szCs w:val="16"/>
                <w:lang w:eastAsia="it-IT"/>
              </w:rPr>
              <w:t>, Roma-Bari, 2006, p. 6.</w:t>
            </w: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p>
          <w:p w:rsidR="00DE0B36" w:rsidRPr="00DE0B36" w:rsidRDefault="00DE0B36" w:rsidP="00DE0B36">
            <w:pPr>
              <w:spacing w:before="100" w:beforeAutospacing="1" w:after="100" w:afterAutospacing="1" w:line="240" w:lineRule="auto"/>
              <w:rPr>
                <w:rFonts w:ascii="Verdana" w:eastAsia="Times New Roman" w:hAnsi="Verdana" w:cs="Arial"/>
                <w:color w:val="777777"/>
                <w:sz w:val="18"/>
                <w:szCs w:val="18"/>
                <w:lang w:eastAsia="it-IT"/>
              </w:rPr>
            </w:pPr>
            <w:bookmarkStart w:id="2" w:name="3"/>
            <w:bookmarkEnd w:id="2"/>
            <w:r w:rsidRPr="00DE0B36">
              <w:rPr>
                <w:rFonts w:ascii="Verdana" w:eastAsia="Times New Roman" w:hAnsi="Verdana" w:cs="Arial"/>
                <w:b/>
                <w:bCs/>
                <w:color w:val="777777"/>
                <w:sz w:val="16"/>
                <w:szCs w:val="16"/>
                <w:lang w:eastAsia="it-IT"/>
              </w:rPr>
              <w:t>(3)</w:t>
            </w:r>
            <w:r w:rsidRPr="00DE0B36">
              <w:rPr>
                <w:rFonts w:ascii="Verdana" w:eastAsia="Times New Roman" w:hAnsi="Verdana" w:cs="Arial"/>
                <w:color w:val="777777"/>
                <w:sz w:val="16"/>
                <w:szCs w:val="16"/>
                <w:lang w:eastAsia="it-IT"/>
              </w:rPr>
              <w:t xml:space="preserve"> G. VETRITTO, </w:t>
            </w:r>
            <w:r w:rsidRPr="00DE0B36">
              <w:rPr>
                <w:rFonts w:ascii="Verdana" w:eastAsia="Times New Roman" w:hAnsi="Verdana" w:cs="Arial"/>
                <w:i/>
                <w:iCs/>
                <w:color w:val="777777"/>
                <w:sz w:val="16"/>
                <w:szCs w:val="16"/>
                <w:lang w:eastAsia="it-IT"/>
              </w:rPr>
              <w:t>Per una nuova professione pubblica: il broker istituzionale</w:t>
            </w:r>
            <w:r w:rsidRPr="00DE0B36">
              <w:rPr>
                <w:rFonts w:ascii="Verdana" w:eastAsia="Times New Roman" w:hAnsi="Verdana" w:cs="Arial"/>
                <w:color w:val="777777"/>
                <w:sz w:val="16"/>
                <w:szCs w:val="16"/>
                <w:lang w:eastAsia="it-IT"/>
              </w:rPr>
              <w:t xml:space="preserve">, in </w:t>
            </w:r>
            <w:r w:rsidRPr="00DE0B36">
              <w:rPr>
                <w:rFonts w:ascii="Verdana" w:eastAsia="Times New Roman" w:hAnsi="Verdana" w:cs="Arial"/>
                <w:i/>
                <w:iCs/>
                <w:color w:val="777777"/>
                <w:sz w:val="16"/>
                <w:szCs w:val="16"/>
                <w:lang w:eastAsia="it-IT"/>
              </w:rPr>
              <w:t>Risorse umane</w:t>
            </w:r>
            <w:r w:rsidRPr="00DE0B36">
              <w:rPr>
                <w:rFonts w:ascii="Verdana" w:eastAsia="Times New Roman" w:hAnsi="Verdana" w:cs="Arial"/>
                <w:color w:val="777777"/>
                <w:sz w:val="16"/>
                <w:szCs w:val="16"/>
                <w:lang w:eastAsia="it-IT"/>
              </w:rPr>
              <w:t>, 2009, p. 19.</w:t>
            </w:r>
          </w:p>
        </w:tc>
      </w:tr>
    </w:tbl>
    <w:p w:rsidR="008438E5" w:rsidRPr="00DE0B36" w:rsidRDefault="00DE0B36">
      <w:pPr>
        <w:rPr>
          <w:lang w:val="en-US"/>
        </w:rPr>
      </w:pPr>
      <w:r w:rsidRPr="00DE0B36">
        <w:rPr>
          <w:rFonts w:ascii="Arial" w:eastAsia="Times New Roman" w:hAnsi="Arial" w:cs="Arial"/>
          <w:color w:val="5D5D5D"/>
          <w:sz w:val="21"/>
          <w:szCs w:val="21"/>
          <w:lang w:val="en-US" w:eastAsia="it-IT"/>
        </w:rPr>
        <w:lastRenderedPageBreak/>
        <w:t>- See more at: http://www.labsus.org/index.php?option=com_content&amp;task=view&amp;id=3826&amp;Itemid=40#sthash.rIBGtOtw.dpuf</w:t>
      </w:r>
      <w:bookmarkStart w:id="3" w:name="_GoBack"/>
      <w:bookmarkEnd w:id="3"/>
    </w:p>
    <w:sectPr w:rsidR="008438E5" w:rsidRPr="00DE0B3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36"/>
    <w:rsid w:val="008438E5"/>
    <w:rsid w:val="00DE0B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DE0B3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uno">
    <w:name w:val="titoletto_uno"/>
    <w:basedOn w:val="Normale"/>
    <w:rsid w:val="00DE0B36"/>
    <w:pPr>
      <w:spacing w:before="150" w:after="100" w:afterAutospacing="1" w:line="240" w:lineRule="auto"/>
    </w:pPr>
    <w:rPr>
      <w:rFonts w:ascii="Georgia" w:eastAsia="Times New Roman" w:hAnsi="Georgia" w:cs="Times New Roman"/>
      <w:color w:val="333333"/>
      <w:sz w:val="32"/>
      <w:szCs w:val="32"/>
      <w:lang w:eastAsia="it-IT"/>
    </w:rPr>
  </w:style>
  <w:style w:type="character" w:customStyle="1" w:styleId="datacreaz">
    <w:name w:val="datacreaz"/>
    <w:basedOn w:val="Carpredefinitoparagrafo"/>
    <w:rsid w:val="00DE0B36"/>
    <w:rPr>
      <w:rFonts w:ascii="Arial" w:hAnsi="Arial" w:cs="Arial" w:hint="default"/>
      <w:color w:val="505050"/>
      <w:sz w:val="18"/>
      <w:szCs w:val="18"/>
    </w:rPr>
  </w:style>
  <w:style w:type="character" w:customStyle="1" w:styleId="autore">
    <w:name w:val="autore"/>
    <w:basedOn w:val="Carpredefinitoparagrafo"/>
    <w:rsid w:val="00DE0B36"/>
    <w:rPr>
      <w:rFonts w:ascii="Arial" w:hAnsi="Arial" w:cs="Arial" w:hint="default"/>
      <w:color w:val="505050"/>
      <w:sz w:val="18"/>
      <w:szCs w:val="18"/>
    </w:rPr>
  </w:style>
  <w:style w:type="character" w:styleId="Enfasicorsivo">
    <w:name w:val="Emphasis"/>
    <w:basedOn w:val="Carpredefinitoparagrafo"/>
    <w:uiPriority w:val="20"/>
    <w:qFormat/>
    <w:rsid w:val="00DE0B36"/>
    <w:rPr>
      <w:i/>
      <w:iCs/>
    </w:rPr>
  </w:style>
  <w:style w:type="character" w:styleId="Enfasigrassetto">
    <w:name w:val="Strong"/>
    <w:basedOn w:val="Carpredefinitoparagrafo"/>
    <w:uiPriority w:val="22"/>
    <w:qFormat/>
    <w:rsid w:val="00DE0B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DE0B3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uno">
    <w:name w:val="titoletto_uno"/>
    <w:basedOn w:val="Normale"/>
    <w:rsid w:val="00DE0B36"/>
    <w:pPr>
      <w:spacing w:before="150" w:after="100" w:afterAutospacing="1" w:line="240" w:lineRule="auto"/>
    </w:pPr>
    <w:rPr>
      <w:rFonts w:ascii="Georgia" w:eastAsia="Times New Roman" w:hAnsi="Georgia" w:cs="Times New Roman"/>
      <w:color w:val="333333"/>
      <w:sz w:val="32"/>
      <w:szCs w:val="32"/>
      <w:lang w:eastAsia="it-IT"/>
    </w:rPr>
  </w:style>
  <w:style w:type="character" w:customStyle="1" w:styleId="datacreaz">
    <w:name w:val="datacreaz"/>
    <w:basedOn w:val="Carpredefinitoparagrafo"/>
    <w:rsid w:val="00DE0B36"/>
    <w:rPr>
      <w:rFonts w:ascii="Arial" w:hAnsi="Arial" w:cs="Arial" w:hint="default"/>
      <w:color w:val="505050"/>
      <w:sz w:val="18"/>
      <w:szCs w:val="18"/>
    </w:rPr>
  </w:style>
  <w:style w:type="character" w:customStyle="1" w:styleId="autore">
    <w:name w:val="autore"/>
    <w:basedOn w:val="Carpredefinitoparagrafo"/>
    <w:rsid w:val="00DE0B36"/>
    <w:rPr>
      <w:rFonts w:ascii="Arial" w:hAnsi="Arial" w:cs="Arial" w:hint="default"/>
      <w:color w:val="505050"/>
      <w:sz w:val="18"/>
      <w:szCs w:val="18"/>
    </w:rPr>
  </w:style>
  <w:style w:type="character" w:styleId="Enfasicorsivo">
    <w:name w:val="Emphasis"/>
    <w:basedOn w:val="Carpredefinitoparagrafo"/>
    <w:uiPriority w:val="20"/>
    <w:qFormat/>
    <w:rsid w:val="00DE0B36"/>
    <w:rPr>
      <w:i/>
      <w:iCs/>
    </w:rPr>
  </w:style>
  <w:style w:type="character" w:styleId="Enfasigrassetto">
    <w:name w:val="Strong"/>
    <w:basedOn w:val="Carpredefinitoparagrafo"/>
    <w:uiPriority w:val="22"/>
    <w:qFormat/>
    <w:rsid w:val="00DE0B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799657">
      <w:bodyDiv w:val="1"/>
      <w:marLeft w:val="0"/>
      <w:marRight w:val="0"/>
      <w:marTop w:val="0"/>
      <w:marBottom w:val="0"/>
      <w:divBdr>
        <w:top w:val="none" w:sz="0" w:space="0" w:color="auto"/>
        <w:left w:val="none" w:sz="0" w:space="0" w:color="auto"/>
        <w:bottom w:val="none" w:sz="0" w:space="0" w:color="auto"/>
        <w:right w:val="none" w:sz="0" w:space="0" w:color="auto"/>
      </w:divBdr>
      <w:divsChild>
        <w:div w:id="973830434">
          <w:marLeft w:val="0"/>
          <w:marRight w:val="0"/>
          <w:marTop w:val="0"/>
          <w:marBottom w:val="0"/>
          <w:divBdr>
            <w:top w:val="none" w:sz="0" w:space="0" w:color="auto"/>
            <w:left w:val="none" w:sz="0" w:space="0" w:color="auto"/>
            <w:bottom w:val="none" w:sz="0" w:space="0" w:color="auto"/>
            <w:right w:val="none" w:sz="0" w:space="0" w:color="auto"/>
          </w:divBdr>
          <w:divsChild>
            <w:div w:id="633562358">
              <w:marLeft w:val="0"/>
              <w:marRight w:val="0"/>
              <w:marTop w:val="0"/>
              <w:marBottom w:val="0"/>
              <w:divBdr>
                <w:top w:val="none" w:sz="0" w:space="0" w:color="auto"/>
                <w:left w:val="none" w:sz="0" w:space="0" w:color="auto"/>
                <w:bottom w:val="none" w:sz="0" w:space="0" w:color="auto"/>
                <w:right w:val="none" w:sz="0" w:space="0" w:color="auto"/>
              </w:divBdr>
            </w:div>
            <w:div w:id="1414160643">
              <w:marLeft w:val="0"/>
              <w:marRight w:val="0"/>
              <w:marTop w:val="0"/>
              <w:marBottom w:val="0"/>
              <w:divBdr>
                <w:top w:val="none" w:sz="0" w:space="0" w:color="auto"/>
                <w:left w:val="none" w:sz="0" w:space="0" w:color="auto"/>
                <w:bottom w:val="none" w:sz="0" w:space="0" w:color="auto"/>
                <w:right w:val="none" w:sz="0" w:space="0" w:color="auto"/>
              </w:divBdr>
            </w:div>
            <w:div w:id="547492107">
              <w:marLeft w:val="0"/>
              <w:marRight w:val="0"/>
              <w:marTop w:val="0"/>
              <w:marBottom w:val="0"/>
              <w:divBdr>
                <w:top w:val="none" w:sz="0" w:space="0" w:color="auto"/>
                <w:left w:val="none" w:sz="0" w:space="0" w:color="auto"/>
                <w:bottom w:val="none" w:sz="0" w:space="0" w:color="auto"/>
                <w:right w:val="none" w:sz="0" w:space="0" w:color="auto"/>
              </w:divBdr>
              <w:divsChild>
                <w:div w:id="1178689741">
                  <w:marLeft w:val="0"/>
                  <w:marRight w:val="0"/>
                  <w:marTop w:val="0"/>
                  <w:marBottom w:val="0"/>
                  <w:divBdr>
                    <w:top w:val="none" w:sz="0" w:space="0" w:color="auto"/>
                    <w:left w:val="none" w:sz="0" w:space="0" w:color="auto"/>
                    <w:bottom w:val="none" w:sz="0" w:space="0" w:color="auto"/>
                    <w:right w:val="none" w:sz="0" w:space="0" w:color="auto"/>
                  </w:divBdr>
                </w:div>
                <w:div w:id="804588528">
                  <w:marLeft w:val="0"/>
                  <w:marRight w:val="0"/>
                  <w:marTop w:val="0"/>
                  <w:marBottom w:val="0"/>
                  <w:divBdr>
                    <w:top w:val="none" w:sz="0" w:space="0" w:color="auto"/>
                    <w:left w:val="none" w:sz="0" w:space="0" w:color="auto"/>
                    <w:bottom w:val="none" w:sz="0" w:space="0" w:color="auto"/>
                    <w:right w:val="none" w:sz="0" w:space="0" w:color="auto"/>
                  </w:divBdr>
                </w:div>
                <w:div w:id="9439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labsus.org/index.php?option=com_content&amp;task=view&amp;id=3755&amp;Itemid=40" TargetMode="External"/><Relationship Id="rId3" Type="http://schemas.openxmlformats.org/officeDocument/2006/relationships/settings" Target="settings.xml"/><Relationship Id="rId7" Type="http://schemas.openxmlformats.org/officeDocument/2006/relationships/hyperlink" Target="http://www.labsus.org/index.php?view=article&amp;catid=214%3A2012&amp;id=3826%3Auna-cabina-di-regia-per-la-cura-dei-beni-comuni&amp;tmpl=component&amp;print=1&amp;layout=default&amp;page=&amp;option=com_content&amp;Itemid=40" TargetMode="External"/><Relationship Id="rId12" Type="http://schemas.openxmlformats.org/officeDocument/2006/relationships/hyperlink" Target="http://www.labsus.org/index.php?option=com_content&amp;task=view&amp;id=3826&amp;Itemid=40"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labsus.org/index.php?option=com_content&amp;task=view&amp;id=3826&amp;Itemid=40" TargetMode="External"/><Relationship Id="rId5" Type="http://schemas.openxmlformats.org/officeDocument/2006/relationships/hyperlink" Target="http://www.labsus.org/index.php?view=article&amp;catid=214%3A2012&amp;id=3826%3Auna-cabina-di-regia-per-la-cura-dei-beni-comuni&amp;format=pdf&amp;option=com_content&amp;Itemid=40" TargetMode="External"/><Relationship Id="rId15" Type="http://schemas.openxmlformats.org/officeDocument/2006/relationships/hyperlink" Target="http://www.luiss.it/feed/2013/01/08/ciclo-di-incontri-laboratorio-la-governance-dei-beni-comuni-labgov-aa-2012-2013"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labsus.org/index.php?option=com_mailto&amp;tmpl=component&amp;link=aHR0cDovL3d3dy5sYWJzdXMub3JnL2luZGV4LnBocD9vcHRpb249Y29tX2NvbnRlbnQmdmlldz1hcnRpY2xlJmlkPTM4MjY6dW5hLWNhYmluYS1kaS1yZWdpYS1wZXItbGEtY3VyYS1kZWktYmVuaS1jb211bmkmY2F0aWQ9MjE0OjIwMTImSXRlbWlkPTIxNQ==" TargetMode="External"/><Relationship Id="rId14" Type="http://schemas.openxmlformats.org/officeDocument/2006/relationships/hyperlink" Target="http://www.labsus.org/index.php?option=com_content&amp;task=view&amp;id=3826&amp;Itemid=4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1684</Words>
  <Characters>9605</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Rossana Caselli</dc:creator>
  <cp:lastModifiedBy>Rossana Caselli</cp:lastModifiedBy>
  <cp:revision>1</cp:revision>
  <dcterms:created xsi:type="dcterms:W3CDTF">2013-06-03T14:35:00Z</dcterms:created>
  <dcterms:modified xsi:type="dcterms:W3CDTF">2013-06-03T14:36:00Z</dcterms:modified>
</cp:coreProperties>
</file>